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1A49" w14:textId="77777777" w:rsidR="00267E43" w:rsidRPr="00267E43" w:rsidRDefault="00267E43" w:rsidP="00267E43">
      <w:pPr>
        <w:spacing w:before="60" w:after="60" w:line="240" w:lineRule="auto"/>
        <w:contextualSpacing/>
        <w:jc w:val="both"/>
        <w:outlineLvl w:val="0"/>
        <w:rPr>
          <w:rFonts w:eastAsia="Calibri" w:cs="Times New Roman"/>
          <w:b/>
          <w:kern w:val="0"/>
          <w:sz w:val="24"/>
          <w:szCs w:val="24"/>
          <w14:ligatures w14:val="none"/>
        </w:rPr>
      </w:pPr>
      <w:bookmarkStart w:id="0" w:name="_Toc144988739"/>
      <w:bookmarkStart w:id="1" w:name="_Toc146805258"/>
      <w:r w:rsidRPr="00267E43">
        <w:rPr>
          <w:rFonts w:eastAsia="Calibri" w:cs="Times New Roman"/>
          <w:b/>
          <w:caps/>
          <w:kern w:val="0"/>
          <w:sz w:val="24"/>
          <w:szCs w:val="24"/>
          <w14:ligatures w14:val="none"/>
        </w:rPr>
        <w:t>Vùng cấm khai thác</w:t>
      </w:r>
      <w:bookmarkEnd w:id="0"/>
      <w:bookmarkEnd w:id="1"/>
    </w:p>
    <w:p w14:paraId="563F43B3" w14:textId="77777777" w:rsidR="00267E43" w:rsidRPr="00267E43" w:rsidRDefault="00267E43" w:rsidP="00267E43">
      <w:pPr>
        <w:widowControl w:val="0"/>
        <w:spacing w:before="60" w:after="60" w:line="240" w:lineRule="auto"/>
        <w:jc w:val="both"/>
        <w:rPr>
          <w:rFonts w:eastAsia="Times New Roman" w:cs="Times New Roman"/>
          <w:kern w:val="0"/>
          <w:sz w:val="28"/>
          <w:szCs w:val="28"/>
          <w14:ligatures w14:val="none"/>
        </w:rPr>
      </w:pPr>
      <w:r w:rsidRPr="00267E43">
        <w:rPr>
          <w:rFonts w:eastAsia="Calibri" w:cs="Times New Roman"/>
          <w:kern w:val="0"/>
          <w:sz w:val="28"/>
          <w:szCs w:val="28"/>
          <w14:ligatures w14:val="none"/>
        </w:rPr>
        <w:t>khu vực được</w:t>
      </w:r>
      <w:r w:rsidRPr="00267E43">
        <w:rPr>
          <w:rFonts w:eastAsia="Calibri" w:cs="Times New Roman"/>
          <w:kern w:val="0"/>
          <w:sz w:val="28"/>
          <w:szCs w:val="28"/>
          <w:lang w:val="vi-VN"/>
          <w14:ligatures w14:val="none"/>
        </w:rPr>
        <w:t xml:space="preserve"> xác định </w:t>
      </w:r>
      <w:r w:rsidRPr="00267E43">
        <w:rPr>
          <w:rFonts w:eastAsia="Calibri" w:cs="Times New Roman"/>
          <w:kern w:val="0"/>
          <w:sz w:val="28"/>
          <w:szCs w:val="28"/>
          <w14:ligatures w14:val="none"/>
        </w:rPr>
        <w:t xml:space="preserve">cụ thể </w:t>
      </w:r>
      <w:r w:rsidRPr="00267E43">
        <w:rPr>
          <w:rFonts w:eastAsia="Calibri" w:cs="Times New Roman"/>
          <w:kern w:val="0"/>
          <w:sz w:val="28"/>
          <w:szCs w:val="28"/>
          <w:lang w:val="vi-VN"/>
          <w14:ligatures w14:val="none"/>
        </w:rPr>
        <w:t xml:space="preserve">và </w:t>
      </w:r>
      <w:r w:rsidRPr="00267E43">
        <w:rPr>
          <w:rFonts w:eastAsia="Calibri" w:cs="Times New Roman"/>
          <w:kern w:val="0"/>
          <w:sz w:val="28"/>
          <w:szCs w:val="28"/>
          <w14:ligatures w14:val="none"/>
        </w:rPr>
        <w:t xml:space="preserve">trong phạm vi xác định đó áp dụng biện pháp </w:t>
      </w:r>
      <w:r w:rsidRPr="00267E43">
        <w:rPr>
          <w:rFonts w:eastAsia="Calibri" w:cs="Times New Roman"/>
          <w:kern w:val="0"/>
          <w:sz w:val="28"/>
          <w:szCs w:val="28"/>
          <w:lang w:val="vi-VN"/>
          <w14:ligatures w14:val="none"/>
        </w:rPr>
        <w:t xml:space="preserve">cấm hoàn toàn các hoạt động khai thác </w:t>
      </w:r>
      <w:r w:rsidRPr="00267E43">
        <w:rPr>
          <w:rFonts w:eastAsia="Calibri" w:cs="Times New Roman"/>
          <w:kern w:val="0"/>
          <w:sz w:val="28"/>
          <w:szCs w:val="28"/>
          <w14:ligatures w14:val="none"/>
        </w:rPr>
        <w:t xml:space="preserve">(có thời hạn hoặc vô thời hạn) </w:t>
      </w:r>
      <w:r w:rsidRPr="00267E43">
        <w:rPr>
          <w:rFonts w:eastAsia="Times New Roman" w:cs="Times New Roman"/>
          <w:kern w:val="0"/>
          <w:sz w:val="28"/>
          <w:szCs w:val="28"/>
          <w:lang w:val="vi-VN"/>
          <w14:ligatures w14:val="none"/>
        </w:rPr>
        <w:t>nhằm</w:t>
      </w:r>
      <w:r w:rsidRPr="00267E43">
        <w:rPr>
          <w:rFonts w:eastAsia="Times New Roman" w:cs="Times New Roman"/>
          <w:kern w:val="0"/>
          <w:sz w:val="28"/>
          <w:szCs w:val="28"/>
          <w14:ligatures w14:val="none"/>
        </w:rPr>
        <w:t xml:space="preserve"> mục đích</w:t>
      </w:r>
      <w:r w:rsidRPr="00267E43">
        <w:rPr>
          <w:rFonts w:eastAsia="Times New Roman" w:cs="Times New Roman"/>
          <w:kern w:val="0"/>
          <w:sz w:val="28"/>
          <w:szCs w:val="28"/>
          <w:lang w:val="vi-VN"/>
          <w14:ligatures w14:val="none"/>
        </w:rPr>
        <w:t xml:space="preserve"> bảo vệ</w:t>
      </w:r>
      <w:r w:rsidRPr="00267E43">
        <w:rPr>
          <w:rFonts w:eastAsia="Times New Roman" w:cs="Times New Roman"/>
          <w:kern w:val="0"/>
          <w:sz w:val="28"/>
          <w:szCs w:val="28"/>
          <w14:ligatures w14:val="none"/>
        </w:rPr>
        <w:t xml:space="preserve">, phục hồi, tái tạo và phát triển </w:t>
      </w:r>
      <w:r w:rsidRPr="00267E43">
        <w:rPr>
          <w:rFonts w:eastAsia="Times New Roman" w:cs="Times New Roman"/>
          <w:kern w:val="0"/>
          <w:sz w:val="28"/>
          <w:szCs w:val="28"/>
          <w:lang w:val="vi-VN"/>
          <w14:ligatures w14:val="none"/>
        </w:rPr>
        <w:t xml:space="preserve">nguồn lợi </w:t>
      </w:r>
      <w:r w:rsidRPr="00267E43">
        <w:rPr>
          <w:rFonts w:eastAsia="Times New Roman" w:cs="Times New Roman"/>
          <w:kern w:val="0"/>
          <w:sz w:val="28"/>
          <w:szCs w:val="28"/>
          <w14:ligatures w14:val="none"/>
        </w:rPr>
        <w:t xml:space="preserve">thủy sản </w:t>
      </w:r>
      <w:r w:rsidRPr="00267E43">
        <w:rPr>
          <w:rFonts w:eastAsia="Times New Roman" w:cs="Times New Roman"/>
          <w:kern w:val="0"/>
          <w:sz w:val="28"/>
          <w:szCs w:val="28"/>
          <w:lang w:val="vi-VN"/>
          <w14:ligatures w14:val="none"/>
        </w:rPr>
        <w:t>và các loài có nguy cơ tuyệt chủng</w:t>
      </w:r>
      <w:r w:rsidRPr="00267E43">
        <w:rPr>
          <w:rFonts w:eastAsia="Times New Roman" w:cs="Times New Roman"/>
          <w:kern w:val="0"/>
          <w:sz w:val="28"/>
          <w:szCs w:val="28"/>
          <w14:ligatures w14:val="none"/>
        </w:rPr>
        <w:t>, dang bị suy giảm cần phải phục hồi.</w:t>
      </w:r>
    </w:p>
    <w:p w14:paraId="54151A6B" w14:textId="77777777" w:rsidR="00267E43" w:rsidRPr="00267E43" w:rsidRDefault="00267E43" w:rsidP="00267E43">
      <w:pPr>
        <w:widowControl w:val="0"/>
        <w:spacing w:before="60" w:after="60" w:line="240" w:lineRule="auto"/>
        <w:ind w:firstLine="720"/>
        <w:jc w:val="both"/>
        <w:rPr>
          <w:rFonts w:eastAsia="Times New Roman" w:cs="Times New Roman"/>
          <w:bCs/>
          <w:kern w:val="0"/>
          <w:sz w:val="28"/>
          <w:szCs w:val="28"/>
          <w14:ligatures w14:val="none"/>
        </w:rPr>
      </w:pPr>
      <w:r w:rsidRPr="00267E43">
        <w:rPr>
          <w:rFonts w:eastAsia="Times New Roman" w:cs="Times New Roman"/>
          <w:bCs/>
          <w:kern w:val="0"/>
          <w:sz w:val="28"/>
          <w:szCs w:val="28"/>
          <w14:ligatures w14:val="none"/>
        </w:rPr>
        <w:t>Thiết lập các khu vực cấm khai thác sẽ mang lại lợi ích cho nghề cá; giảm tỉ lệ tử vong do đánh bắt ở nơi có mật độ cao của các loài thủy sản non tuổi, cá bố mẹ và nơi có các loài có nguy cơ bị tuyệt chủng cao; tăng sinh khối của các đàn cá trưởng thành và tăng sản lượng cho nghề cá; bảo vệ các loài và môi trường sống dễ bị tổn thương. Các khu vực cấm khai thác, nếu được thực thi tốt sẽ duy trì hoặc tăng được sản lượng khai thác và tính bền vững cho nghề cá.</w:t>
      </w:r>
    </w:p>
    <w:p w14:paraId="48A36665" w14:textId="77777777" w:rsidR="00267E43" w:rsidRPr="00267E43" w:rsidRDefault="00267E43" w:rsidP="00267E43">
      <w:pPr>
        <w:widowControl w:val="0"/>
        <w:spacing w:before="60" w:after="60" w:line="240" w:lineRule="auto"/>
        <w:ind w:firstLine="720"/>
        <w:jc w:val="both"/>
        <w:rPr>
          <w:rFonts w:eastAsia="Times New Roman" w:cs="Times New Roman"/>
          <w:bCs/>
          <w:kern w:val="0"/>
          <w:sz w:val="28"/>
          <w:szCs w:val="28"/>
          <w14:ligatures w14:val="none"/>
        </w:rPr>
      </w:pPr>
      <w:r w:rsidRPr="00267E43">
        <w:rPr>
          <w:rFonts w:eastAsia="Times New Roman" w:cs="Times New Roman"/>
          <w:bCs/>
          <w:kern w:val="0"/>
          <w:sz w:val="28"/>
          <w:szCs w:val="28"/>
          <w14:ligatures w14:val="none"/>
        </w:rPr>
        <w:t>Tuy nhiên, thực hiện Vùng cấm khai thác cũng chỉ là một trong những công cụ quản lý nghề cá. Vì vậy cần phải kết hợp thật tốt với các công cụ quản lý khác như: Điều chỉnh giảm tỉ lệ tử vong do khai thác; tránh khai thác quá mức cho phép; thực hiện quản lý theo các qui định của Luật Thủy sản; thực hiện tốt Chiến lược Khai thác thủy sản;…</w:t>
      </w:r>
    </w:p>
    <w:p w14:paraId="3F9BFD45" w14:textId="77777777" w:rsidR="00267E43" w:rsidRPr="00267E43" w:rsidRDefault="00267E43" w:rsidP="00267E43">
      <w:pPr>
        <w:widowControl w:val="0"/>
        <w:spacing w:before="60" w:after="60" w:line="240" w:lineRule="auto"/>
        <w:ind w:firstLine="720"/>
        <w:jc w:val="both"/>
        <w:rPr>
          <w:rFonts w:eastAsia="Times New Roman" w:cs="Times New Roman"/>
          <w:bCs/>
          <w:kern w:val="0"/>
          <w:sz w:val="28"/>
          <w:szCs w:val="28"/>
          <w14:ligatures w14:val="none"/>
        </w:rPr>
      </w:pPr>
      <w:r w:rsidRPr="00267E43">
        <w:rPr>
          <w:rFonts w:eastAsia="Times New Roman" w:cs="Times New Roman"/>
          <w:bCs/>
          <w:kern w:val="0"/>
          <w:sz w:val="28"/>
          <w:szCs w:val="28"/>
          <w:lang w:val="vi-VN"/>
          <w14:ligatures w14:val="none"/>
        </w:rPr>
        <w:t>Vùng cấm khai thác là các vùng được thiết lập, gồm: khu bảo tồn biển, các bãi cá đẻ, khu thả bổ sung cá giống …</w:t>
      </w:r>
      <w:r w:rsidRPr="00267E43">
        <w:rPr>
          <w:rFonts w:eastAsia="Times New Roman" w:cs="Times New Roman"/>
          <w:bCs/>
          <w:kern w:val="0"/>
          <w:sz w:val="28"/>
          <w:szCs w:val="28"/>
          <w14:ligatures w14:val="none"/>
        </w:rPr>
        <w:t>,</w:t>
      </w:r>
      <w:r w:rsidRPr="00267E43">
        <w:rPr>
          <w:rFonts w:eastAsia="Times New Roman" w:cs="Times New Roman"/>
          <w:bCs/>
          <w:kern w:val="0"/>
          <w:sz w:val="28"/>
          <w:szCs w:val="28"/>
          <w:lang w:val="vi-VN"/>
          <w14:ligatures w14:val="none"/>
        </w:rPr>
        <w:t xml:space="preserve"> </w:t>
      </w:r>
      <w:r w:rsidRPr="00267E43">
        <w:rPr>
          <w:rFonts w:eastAsia="Times New Roman" w:cs="Times New Roman"/>
          <w:bCs/>
          <w:kern w:val="0"/>
          <w:sz w:val="28"/>
          <w:szCs w:val="28"/>
          <w14:ligatures w14:val="none"/>
        </w:rPr>
        <w:t>trong đó:</w:t>
      </w:r>
    </w:p>
    <w:p w14:paraId="5E500BF8" w14:textId="77777777" w:rsidR="00267E43" w:rsidRPr="00267E43" w:rsidRDefault="00267E43" w:rsidP="00267E43">
      <w:pPr>
        <w:widowControl w:val="0"/>
        <w:spacing w:before="60" w:after="60" w:line="240" w:lineRule="auto"/>
        <w:ind w:firstLine="720"/>
        <w:jc w:val="both"/>
        <w:rPr>
          <w:rFonts w:eastAsia="Times New Roman" w:cs="Times New Roman"/>
          <w:bCs/>
          <w:kern w:val="0"/>
          <w:sz w:val="28"/>
          <w:szCs w:val="28"/>
          <w14:ligatures w14:val="none"/>
        </w:rPr>
      </w:pPr>
      <w:r w:rsidRPr="00267E43">
        <w:rPr>
          <w:rFonts w:eastAsia="Times New Roman" w:cs="Times New Roman"/>
          <w:bCs/>
          <w:kern w:val="0"/>
          <w:sz w:val="28"/>
          <w:szCs w:val="28"/>
          <w14:ligatures w14:val="none"/>
        </w:rPr>
        <w:t>(1) Khu bảo tồn biển được quy định tại Điều 15, Luật Thủy sản 2017, theo đó:</w:t>
      </w:r>
    </w:p>
    <w:p w14:paraId="3FE80302" w14:textId="77777777" w:rsidR="00267E43" w:rsidRPr="00267E43" w:rsidRDefault="00267E43" w:rsidP="00267E43">
      <w:pPr>
        <w:widowControl w:val="0"/>
        <w:spacing w:before="60" w:after="60" w:line="240" w:lineRule="auto"/>
        <w:ind w:firstLine="720"/>
        <w:jc w:val="both"/>
        <w:rPr>
          <w:rFonts w:eastAsia="Calibri" w:cs="Times New Roman"/>
          <w:kern w:val="0"/>
          <w:sz w:val="28"/>
          <w:szCs w:val="28"/>
          <w:lang w:val="es-MX" w:eastAsia="vi-VN"/>
          <w14:ligatures w14:val="none"/>
        </w:rPr>
      </w:pPr>
      <w:r w:rsidRPr="00267E43">
        <w:rPr>
          <w:rFonts w:eastAsia="Calibri" w:cs="Times New Roman"/>
          <w:kern w:val="0"/>
          <w:sz w:val="28"/>
          <w:szCs w:val="28"/>
          <w:lang w:val="es-MX" w:eastAsia="vi-VN"/>
          <w14:ligatures w14:val="none"/>
        </w:rPr>
        <w:t>Khu bảo tồn biển bao gồm vườn quốc gia, khu dự trữ thiên nhiên, khu bảo tồn loài - sinh cảnh, khu bảo vệ cảnh quan. Việc phân cấp khu bảo tồn biển thực hiện theo quy định của pháp luật về đa dạng sinh học.</w:t>
      </w:r>
    </w:p>
    <w:p w14:paraId="42C83C5E" w14:textId="77777777" w:rsidR="00267E43" w:rsidRPr="00267E43" w:rsidRDefault="00267E43" w:rsidP="00267E43">
      <w:pPr>
        <w:widowControl w:val="0"/>
        <w:spacing w:before="60" w:after="60" w:line="240" w:lineRule="auto"/>
        <w:ind w:firstLine="720"/>
        <w:jc w:val="both"/>
        <w:rPr>
          <w:rFonts w:eastAsia="Calibri" w:cs="Times New Roman"/>
          <w:kern w:val="0"/>
          <w:sz w:val="28"/>
          <w:szCs w:val="28"/>
          <w:lang w:val="es-MX" w:eastAsia="vi-VN"/>
          <w14:ligatures w14:val="none"/>
        </w:rPr>
      </w:pPr>
      <w:r w:rsidRPr="00267E43">
        <w:rPr>
          <w:rFonts w:eastAsia="Calibri" w:cs="Times New Roman"/>
          <w:kern w:val="0"/>
          <w:sz w:val="28"/>
          <w:szCs w:val="28"/>
          <w:lang w:val="es-MX" w:eastAsia="vi-VN"/>
          <w14:ligatures w14:val="none"/>
        </w:rPr>
        <w:t>Tiêu chí xác lập khu dự trữ thiên nhiên, khu bảo vệ cảnh quan thực hiện theo quy định của pháp luật về đa dạng sinh học.</w:t>
      </w:r>
    </w:p>
    <w:p w14:paraId="16C0B76B" w14:textId="77777777" w:rsidR="00267E43" w:rsidRPr="00267E43" w:rsidRDefault="00267E43" w:rsidP="00267E43">
      <w:pPr>
        <w:widowControl w:val="0"/>
        <w:spacing w:before="60" w:after="60" w:line="240" w:lineRule="auto"/>
        <w:ind w:firstLine="720"/>
        <w:jc w:val="both"/>
        <w:rPr>
          <w:rFonts w:eastAsia="Calibri" w:cs="Times New Roman"/>
          <w:kern w:val="0"/>
          <w:sz w:val="28"/>
          <w:szCs w:val="28"/>
          <w:lang w:val="es-MX" w:eastAsia="vi-VN"/>
          <w14:ligatures w14:val="none"/>
        </w:rPr>
      </w:pPr>
      <w:r w:rsidRPr="00267E43">
        <w:rPr>
          <w:rFonts w:eastAsia="Calibri" w:cs="Times New Roman"/>
          <w:kern w:val="0"/>
          <w:sz w:val="28"/>
          <w:szCs w:val="28"/>
          <w:lang w:val="es-MX" w:eastAsia="vi-VN"/>
          <w14:ligatures w14:val="none"/>
        </w:rPr>
        <w:t>Tiêu chí xác lập vườn quốc gia bao gồm:</w:t>
      </w:r>
    </w:p>
    <w:p w14:paraId="7A495278" w14:textId="77777777" w:rsidR="00267E43" w:rsidRPr="00267E43" w:rsidRDefault="00267E43" w:rsidP="00267E43">
      <w:pPr>
        <w:widowControl w:val="0"/>
        <w:spacing w:before="60" w:after="60" w:line="240" w:lineRule="auto"/>
        <w:ind w:firstLine="720"/>
        <w:jc w:val="both"/>
        <w:rPr>
          <w:rFonts w:eastAsia="Calibri" w:cs="Times New Roman"/>
          <w:i/>
          <w:kern w:val="0"/>
          <w:sz w:val="28"/>
          <w:szCs w:val="28"/>
          <w:lang w:val="es-MX" w:eastAsia="vi-VN"/>
          <w14:ligatures w14:val="none"/>
        </w:rPr>
      </w:pPr>
      <w:r w:rsidRPr="00267E43">
        <w:rPr>
          <w:rFonts w:eastAsia="Calibri" w:cs="Times New Roman"/>
          <w:i/>
          <w:kern w:val="0"/>
          <w:sz w:val="28"/>
          <w:szCs w:val="28"/>
          <w:lang w:val="es-MX" w:eastAsia="vi-VN"/>
          <w14:ligatures w14:val="none"/>
        </w:rPr>
        <w:t>Có hệ sinh thái biển quan trọng đối với quốc gia, quốc tế, đặc thù hoặc đại diện cho một vùng sinh thái tự nhiên;</w:t>
      </w:r>
    </w:p>
    <w:p w14:paraId="69EDB430" w14:textId="77777777" w:rsidR="00267E43" w:rsidRPr="00267E43" w:rsidRDefault="00267E43" w:rsidP="00267E43">
      <w:pPr>
        <w:widowControl w:val="0"/>
        <w:spacing w:before="60" w:after="60" w:line="240" w:lineRule="auto"/>
        <w:ind w:firstLine="720"/>
        <w:jc w:val="both"/>
        <w:rPr>
          <w:rFonts w:eastAsia="Calibri" w:cs="Times New Roman"/>
          <w:i/>
          <w:kern w:val="0"/>
          <w:sz w:val="28"/>
          <w:szCs w:val="28"/>
          <w:lang w:val="es-MX" w:eastAsia="vi-VN"/>
          <w14:ligatures w14:val="none"/>
        </w:rPr>
      </w:pPr>
      <w:r w:rsidRPr="00267E43">
        <w:rPr>
          <w:rFonts w:eastAsia="Calibri" w:cs="Times New Roman"/>
          <w:i/>
          <w:kern w:val="0"/>
          <w:sz w:val="28"/>
          <w:szCs w:val="28"/>
          <w:lang w:val="es-MX" w:eastAsia="vi-VN"/>
          <w14:ligatures w14:val="none"/>
        </w:rPr>
        <w:t>Là nơi sinh sống tự nhiên thường xuyên hoặc theo mùa của ít nhất một loài thủy sản thuộc Danh mục loài nguy cấp, quý, hiếm được ưu tiên bảo vệ hoặc thuộc nhóm loài thủy sản cấm khai thác trong Danh mục loài thủy sản nguy cấp, quý, hiếm;</w:t>
      </w:r>
    </w:p>
    <w:p w14:paraId="5F26732C" w14:textId="77777777" w:rsidR="00267E43" w:rsidRPr="00267E43" w:rsidRDefault="00267E43" w:rsidP="00267E43">
      <w:pPr>
        <w:widowControl w:val="0"/>
        <w:spacing w:before="60" w:after="60" w:line="240" w:lineRule="auto"/>
        <w:ind w:firstLine="720"/>
        <w:jc w:val="both"/>
        <w:rPr>
          <w:rFonts w:eastAsia="Calibri" w:cs="Times New Roman"/>
          <w:i/>
          <w:kern w:val="0"/>
          <w:sz w:val="28"/>
          <w:szCs w:val="28"/>
          <w:lang w:val="es-MX" w:eastAsia="vi-VN"/>
          <w14:ligatures w14:val="none"/>
        </w:rPr>
      </w:pPr>
      <w:r w:rsidRPr="00267E43">
        <w:rPr>
          <w:rFonts w:eastAsia="Calibri" w:cs="Times New Roman"/>
          <w:i/>
          <w:kern w:val="0"/>
          <w:sz w:val="28"/>
          <w:szCs w:val="28"/>
          <w:lang w:val="es-MX" w:eastAsia="vi-VN"/>
          <w14:ligatures w14:val="none"/>
        </w:rPr>
        <w:t>Có giá trị đặc biệt về khoa học, giáo dục;</w:t>
      </w:r>
    </w:p>
    <w:p w14:paraId="611D41BD" w14:textId="77777777" w:rsidR="00267E43" w:rsidRPr="00267E43" w:rsidRDefault="00267E43" w:rsidP="00267E43">
      <w:pPr>
        <w:widowControl w:val="0"/>
        <w:spacing w:before="60" w:after="60" w:line="240" w:lineRule="auto"/>
        <w:ind w:firstLine="720"/>
        <w:jc w:val="both"/>
        <w:rPr>
          <w:rFonts w:eastAsia="Calibri" w:cs="Times New Roman"/>
          <w:i/>
          <w:kern w:val="0"/>
          <w:sz w:val="28"/>
          <w:szCs w:val="28"/>
          <w:lang w:val="es-MX" w:eastAsia="vi-VN"/>
          <w14:ligatures w14:val="none"/>
        </w:rPr>
      </w:pPr>
      <w:r w:rsidRPr="00267E43">
        <w:rPr>
          <w:rFonts w:eastAsia="Calibri" w:cs="Times New Roman"/>
          <w:i/>
          <w:kern w:val="0"/>
          <w:sz w:val="28"/>
          <w:szCs w:val="28"/>
          <w:lang w:val="es-MX" w:eastAsia="vi-VN"/>
          <w14:ligatures w14:val="none"/>
        </w:rPr>
        <w:t>Có cảnh quan môi trường, nét đẹp độc đáo của tự nhiên, có giá trị du lịch sinh thái.</w:t>
      </w:r>
    </w:p>
    <w:p w14:paraId="3A6FD8EF" w14:textId="77777777" w:rsidR="00267E43" w:rsidRPr="00267E43" w:rsidRDefault="00267E43" w:rsidP="00267E43">
      <w:pPr>
        <w:widowControl w:val="0"/>
        <w:spacing w:before="60" w:after="60" w:line="240" w:lineRule="auto"/>
        <w:ind w:firstLine="720"/>
        <w:jc w:val="both"/>
        <w:rPr>
          <w:rFonts w:eastAsia="Calibri" w:cs="Times New Roman"/>
          <w:kern w:val="0"/>
          <w:sz w:val="28"/>
          <w:szCs w:val="28"/>
          <w:lang w:val="es-MX" w:eastAsia="vi-VN"/>
          <w14:ligatures w14:val="none"/>
        </w:rPr>
      </w:pPr>
      <w:r w:rsidRPr="00267E43">
        <w:rPr>
          <w:rFonts w:eastAsia="Calibri" w:cs="Times New Roman"/>
          <w:kern w:val="0"/>
          <w:sz w:val="28"/>
          <w:szCs w:val="28"/>
          <w:lang w:val="es-MX" w:eastAsia="vi-VN"/>
          <w14:ligatures w14:val="none"/>
        </w:rPr>
        <w:t>Tiêu chí xác lập khu bảo tồn loài - sinh cảnh bao gồm:</w:t>
      </w:r>
    </w:p>
    <w:p w14:paraId="6FE22A87" w14:textId="77777777" w:rsidR="00267E43" w:rsidRPr="00267E43" w:rsidRDefault="00267E43" w:rsidP="00267E43">
      <w:pPr>
        <w:widowControl w:val="0"/>
        <w:spacing w:before="60" w:after="60" w:line="240" w:lineRule="auto"/>
        <w:ind w:firstLine="720"/>
        <w:jc w:val="both"/>
        <w:rPr>
          <w:rFonts w:eastAsia="Calibri" w:cs="Times New Roman"/>
          <w:i/>
          <w:kern w:val="0"/>
          <w:sz w:val="28"/>
          <w:szCs w:val="28"/>
          <w:lang w:val="es-MX" w:eastAsia="vi-VN"/>
          <w14:ligatures w14:val="none"/>
        </w:rPr>
      </w:pPr>
      <w:r w:rsidRPr="00267E43">
        <w:rPr>
          <w:rFonts w:eastAsia="Calibri" w:cs="Times New Roman"/>
          <w:i/>
          <w:kern w:val="0"/>
          <w:sz w:val="28"/>
          <w:szCs w:val="28"/>
          <w:lang w:val="es-MX" w:eastAsia="vi-VN"/>
          <w14:ligatures w14:val="none"/>
        </w:rPr>
        <w:t>Khu bảo tồn loài - sinh cảnh cấp quốc gia là nơi sinh sống tự nhiên thường xuyên hoặc theo mùa của ít nhất một loài thủy sản thuộc Danh mục loài nguy cấp, quý, hiếm được ưu tiên bảo vệ hoặc thuộc nhóm loài thủy sản cấm khai thác trong Danh mục loài thủy sản nguy cấp, quý, hiếm; có giá trị đặc biệt về khoa học, giáo dục;</w:t>
      </w:r>
    </w:p>
    <w:p w14:paraId="528677DA" w14:textId="77777777" w:rsidR="00267E43" w:rsidRPr="00267E43" w:rsidRDefault="00267E43" w:rsidP="00267E43">
      <w:pPr>
        <w:widowControl w:val="0"/>
        <w:spacing w:before="60" w:after="60" w:line="240" w:lineRule="auto"/>
        <w:ind w:firstLine="720"/>
        <w:jc w:val="both"/>
        <w:rPr>
          <w:rFonts w:eastAsia="Calibri" w:cs="Times New Roman"/>
          <w:i/>
          <w:kern w:val="0"/>
          <w:sz w:val="28"/>
          <w:szCs w:val="28"/>
          <w:lang w:val="es-MX" w:eastAsia="vi-VN"/>
          <w14:ligatures w14:val="none"/>
        </w:rPr>
      </w:pPr>
      <w:r w:rsidRPr="00267E43">
        <w:rPr>
          <w:rFonts w:eastAsia="Calibri" w:cs="Times New Roman"/>
          <w:i/>
          <w:kern w:val="0"/>
          <w:sz w:val="28"/>
          <w:szCs w:val="28"/>
          <w:lang w:val="es-MX" w:eastAsia="vi-VN"/>
          <w14:ligatures w14:val="none"/>
        </w:rPr>
        <w:t>Khu bảo tồn loài - sinh cảnh cấp tỉnh là nơi sinh sống tự nhiên thường xuyên hoặc theo mùa của ít nhất một loài thủy sản đặc hữu hoặc loài thủy sản bản địa có giá trị đặc biệt về khoa học, kinh tế; có giá trị đặc biệt về sinh thái, môi trường.</w:t>
      </w:r>
    </w:p>
    <w:p w14:paraId="0BB0B4F3" w14:textId="77777777" w:rsidR="00267E43" w:rsidRPr="00267E43" w:rsidRDefault="00267E43" w:rsidP="00267E43">
      <w:pPr>
        <w:widowControl w:val="0"/>
        <w:spacing w:before="60" w:after="60" w:line="240" w:lineRule="auto"/>
        <w:ind w:firstLine="720"/>
        <w:jc w:val="both"/>
        <w:rPr>
          <w:rFonts w:eastAsia="Times New Roman" w:cs="Times New Roman"/>
          <w:kern w:val="0"/>
          <w:sz w:val="28"/>
          <w:szCs w:val="28"/>
          <w:lang w:val="vi-VN"/>
          <w14:ligatures w14:val="none"/>
        </w:rPr>
      </w:pPr>
      <w:r w:rsidRPr="00267E43">
        <w:rPr>
          <w:rFonts w:eastAsia="Times New Roman" w:cs="Times New Roman"/>
          <w:kern w:val="0"/>
          <w:sz w:val="28"/>
          <w:szCs w:val="28"/>
          <w:lang w:val="vi-VN"/>
          <w14:ligatures w14:val="none"/>
        </w:rPr>
        <w:lastRenderedPageBreak/>
        <w:t xml:space="preserve">Danh sách các khu bảo tồn biển được thể hiện trong Phụ lục 1 kèm theo Quyết định số 742/QĐ-TTg ngày  26 tháng  5 năm 2010 của Thủ tướng Chính phủ. </w:t>
      </w:r>
    </w:p>
    <w:p w14:paraId="151A7E16" w14:textId="77777777" w:rsidR="00267E43" w:rsidRPr="00267E43" w:rsidRDefault="00267E43" w:rsidP="00267E43">
      <w:pPr>
        <w:widowControl w:val="0"/>
        <w:spacing w:before="60" w:after="60" w:line="240" w:lineRule="auto"/>
        <w:ind w:firstLine="720"/>
        <w:jc w:val="both"/>
        <w:rPr>
          <w:rFonts w:eastAsia="Times New Roman" w:cs="Times New Roman"/>
          <w:kern w:val="0"/>
          <w:sz w:val="28"/>
          <w:szCs w:val="28"/>
          <w:lang w:val="vi-VN"/>
          <w14:ligatures w14:val="none"/>
        </w:rPr>
      </w:pPr>
      <w:r w:rsidRPr="00267E43">
        <w:rPr>
          <w:rFonts w:eastAsia="Times New Roman" w:cs="Times New Roman"/>
          <w:kern w:val="0"/>
          <w:sz w:val="28"/>
          <w:szCs w:val="28"/>
          <w:lang w:val="vi-VN"/>
          <w14:ligatures w14:val="none"/>
        </w:rPr>
        <w:t>(2) Khu vực cấm khai thác thủy sản có thời hạn nhằm bảo vệ các loài thủy sản  trưởng thành trong mùa sinh sản hoặc để bảo vệ trứng, các loài thủy sản non tuổi trong giai đoạn đầu của vòng đời và được quy định tại Điều 14 Thông tư 19/2018/TT-BNNPTNT ngày 15/11/2018 và điều 1 thông tư 01/2022/TT-BNNPTNT ngày 18/01/2022 của Bộ Nông nghiệp và Phát triển nông thôn ban hành, theo đó:</w:t>
      </w:r>
    </w:p>
    <w:p w14:paraId="3463C120" w14:textId="77777777" w:rsidR="00267E43" w:rsidRPr="00267E43" w:rsidRDefault="00267E43" w:rsidP="00267E43">
      <w:pPr>
        <w:widowControl w:val="0"/>
        <w:spacing w:before="60" w:after="60" w:line="240" w:lineRule="auto"/>
        <w:ind w:firstLine="720"/>
        <w:jc w:val="both"/>
        <w:rPr>
          <w:rFonts w:eastAsia="Times New Roman" w:cs="Times New Roman"/>
          <w:kern w:val="0"/>
          <w:sz w:val="28"/>
          <w:szCs w:val="28"/>
          <w:lang w:val="vi-VN"/>
          <w14:ligatures w14:val="none"/>
        </w:rPr>
      </w:pPr>
      <w:r w:rsidRPr="00267E43">
        <w:rPr>
          <w:rFonts w:eastAsia="Times New Roman" w:cs="Times New Roman"/>
          <w:kern w:val="0"/>
          <w:sz w:val="28"/>
          <w:szCs w:val="28"/>
          <w:lang w:val="vi-VN"/>
          <w14:ligatures w14:val="none"/>
        </w:rPr>
        <w:t>Khu vực cấm khai thác thủy sản có thời hạn được xác định bởi một trong các</w:t>
      </w:r>
      <w:r w:rsidRPr="00267E43">
        <w:rPr>
          <w:rFonts w:eastAsia="Times New Roman" w:cs="Times New Roman"/>
          <w:bCs/>
          <w:kern w:val="0"/>
          <w:sz w:val="28"/>
          <w:szCs w:val="28"/>
          <w:lang w:val="vi-VN"/>
          <w14:ligatures w14:val="none"/>
        </w:rPr>
        <w:t xml:space="preserve"> tiêu</w:t>
      </w:r>
      <w:r w:rsidRPr="00267E43">
        <w:rPr>
          <w:rFonts w:eastAsia="Times New Roman" w:cs="Times New Roman"/>
          <w:kern w:val="0"/>
          <w:sz w:val="28"/>
          <w:szCs w:val="28"/>
          <w:lang w:val="vi-VN"/>
          <w14:ligatures w14:val="none"/>
        </w:rPr>
        <w:t xml:space="preserve"> chí sau đây:</w:t>
      </w:r>
    </w:p>
    <w:p w14:paraId="71F4A5C4" w14:textId="77777777" w:rsidR="00267E43" w:rsidRPr="00267E43" w:rsidRDefault="00267E43" w:rsidP="00267E43">
      <w:pPr>
        <w:widowControl w:val="0"/>
        <w:spacing w:before="60" w:after="60" w:line="240" w:lineRule="auto"/>
        <w:ind w:firstLine="720"/>
        <w:jc w:val="both"/>
        <w:rPr>
          <w:rFonts w:eastAsia="Times New Roman" w:cs="Times New Roman"/>
          <w:i/>
          <w:kern w:val="0"/>
          <w:sz w:val="28"/>
          <w:szCs w:val="28"/>
          <w:lang w:val="vi-VN"/>
          <w14:ligatures w14:val="none"/>
        </w:rPr>
      </w:pPr>
      <w:r w:rsidRPr="00267E43">
        <w:rPr>
          <w:rFonts w:eastAsia="Times New Roman" w:cs="Times New Roman"/>
          <w:i/>
          <w:kern w:val="0"/>
          <w:sz w:val="28"/>
          <w:szCs w:val="28"/>
          <w:lang w:val="vi-VN"/>
          <w14:ligatures w14:val="none"/>
        </w:rPr>
        <w:t>Khu vực tập trung sinh sản của loài thủy sản, khu vực có mật độ phân bố trứng của các loài thủy sản cao hơn so với vùng lân cận;</w:t>
      </w:r>
    </w:p>
    <w:p w14:paraId="5188326F" w14:textId="77777777" w:rsidR="00267E43" w:rsidRPr="00267E43" w:rsidRDefault="00267E43" w:rsidP="00267E43">
      <w:pPr>
        <w:widowControl w:val="0"/>
        <w:spacing w:before="60" w:after="60" w:line="240" w:lineRule="auto"/>
        <w:ind w:firstLine="720"/>
        <w:jc w:val="both"/>
        <w:rPr>
          <w:rFonts w:eastAsia="Times New Roman" w:cs="Times New Roman"/>
          <w:i/>
          <w:kern w:val="0"/>
          <w:sz w:val="28"/>
          <w:szCs w:val="28"/>
          <w:lang w:val="vi-VN"/>
          <w14:ligatures w14:val="none"/>
        </w:rPr>
      </w:pPr>
      <w:r w:rsidRPr="00267E43">
        <w:rPr>
          <w:rFonts w:eastAsia="Times New Roman" w:cs="Times New Roman"/>
          <w:i/>
          <w:kern w:val="0"/>
          <w:sz w:val="28"/>
          <w:szCs w:val="28"/>
          <w:lang w:val="vi-VN"/>
          <w14:ligatures w14:val="none"/>
        </w:rPr>
        <w:t>Khu vực tập trung sinh sống của thủy sản chưa thành thục sinh sản, khu vực có mật độ phân bố cá con, tôm con và ấu trùng các loài thủy sản cao so với vùng lân cận;</w:t>
      </w:r>
    </w:p>
    <w:p w14:paraId="7103AB41" w14:textId="77777777" w:rsidR="00267E43" w:rsidRPr="00267E43" w:rsidRDefault="00267E43" w:rsidP="00267E43">
      <w:pPr>
        <w:widowControl w:val="0"/>
        <w:spacing w:before="60" w:after="60" w:line="240" w:lineRule="auto"/>
        <w:ind w:firstLine="720"/>
        <w:jc w:val="both"/>
        <w:rPr>
          <w:rFonts w:eastAsia="Times New Roman" w:cs="Times New Roman"/>
          <w:i/>
          <w:kern w:val="0"/>
          <w:sz w:val="28"/>
          <w:szCs w:val="28"/>
          <w:lang w:val="vi-VN"/>
          <w14:ligatures w14:val="none"/>
        </w:rPr>
      </w:pPr>
      <w:r w:rsidRPr="00267E43">
        <w:rPr>
          <w:rFonts w:eastAsia="Times New Roman" w:cs="Times New Roman"/>
          <w:i/>
          <w:kern w:val="0"/>
          <w:sz w:val="28"/>
          <w:szCs w:val="28"/>
          <w:lang w:val="vi-VN"/>
          <w14:ligatures w14:val="none"/>
        </w:rPr>
        <w:t>Khu vực di cư sinh sản của loài thủy sản;</w:t>
      </w:r>
    </w:p>
    <w:p w14:paraId="34CDE223" w14:textId="77777777" w:rsidR="00267E43" w:rsidRPr="00267E43" w:rsidRDefault="00267E43" w:rsidP="00267E43">
      <w:pPr>
        <w:widowControl w:val="0"/>
        <w:spacing w:before="60" w:after="60" w:line="240" w:lineRule="auto"/>
        <w:ind w:firstLine="720"/>
        <w:jc w:val="both"/>
        <w:rPr>
          <w:rFonts w:eastAsia="Times New Roman" w:cs="Times New Roman"/>
          <w:i/>
          <w:kern w:val="0"/>
          <w:sz w:val="28"/>
          <w:szCs w:val="28"/>
          <w:lang w:val="vi-VN"/>
          <w14:ligatures w14:val="none"/>
        </w:rPr>
      </w:pPr>
      <w:r w:rsidRPr="00267E43">
        <w:rPr>
          <w:rFonts w:eastAsia="Times New Roman" w:cs="Times New Roman"/>
          <w:i/>
          <w:kern w:val="0"/>
          <w:sz w:val="28"/>
          <w:szCs w:val="28"/>
          <w:lang w:val="vi-VN"/>
          <w14:ligatures w14:val="none"/>
        </w:rPr>
        <w:t>Khu vực cấm khai thác thủy sản của các tổ chức quản lý nghề cá khu vực mà Việt Nam là thành viên hoặc không phải là thành viên nhưng có hợp tác.</w:t>
      </w:r>
    </w:p>
    <w:p w14:paraId="59692690" w14:textId="77777777" w:rsidR="00267E43" w:rsidRPr="00267E43" w:rsidRDefault="00267E43" w:rsidP="00267E43">
      <w:pPr>
        <w:widowControl w:val="0"/>
        <w:spacing w:before="60" w:after="60" w:line="240" w:lineRule="auto"/>
        <w:ind w:firstLine="720"/>
        <w:jc w:val="both"/>
        <w:rPr>
          <w:rFonts w:eastAsia="Times New Roman" w:cs="Times New Roman"/>
          <w:kern w:val="0"/>
          <w:sz w:val="28"/>
          <w:szCs w:val="28"/>
          <w:lang w:val="vi-VN"/>
          <w14:ligatures w14:val="none"/>
        </w:rPr>
      </w:pPr>
      <w:r w:rsidRPr="00267E43">
        <w:rPr>
          <w:rFonts w:eastAsia="Times New Roman" w:cs="Times New Roman"/>
          <w:kern w:val="0"/>
          <w:sz w:val="28"/>
          <w:szCs w:val="28"/>
          <w:lang w:val="vi-VN"/>
          <w14:ligatures w14:val="none"/>
        </w:rPr>
        <w:t xml:space="preserve">Danh mục các khu vực cấm khai thác thủy sản có thời hạn được quy định trong Phụ lục 3 Thông tư </w:t>
      </w:r>
      <w:r w:rsidRPr="00267E43">
        <w:rPr>
          <w:rFonts w:eastAsia="Calibri" w:cs="Times New Roman"/>
          <w:kern w:val="0"/>
          <w:sz w:val="28"/>
          <w:szCs w:val="28"/>
          <w:lang w:val="vi-VN"/>
          <w14:ligatures w14:val="none"/>
        </w:rPr>
        <w:t>01/2022/TT-BNNPTNT ngày 18/01/2022 của Bộ Nông nghiệp và Phát triển nông thôn</w:t>
      </w:r>
      <w:r w:rsidRPr="00267E43">
        <w:rPr>
          <w:rFonts w:eastAsia="Times New Roman" w:cs="Times New Roman"/>
          <w:kern w:val="0"/>
          <w:sz w:val="28"/>
          <w:szCs w:val="28"/>
          <w:lang w:val="vi-VN"/>
          <w14:ligatures w14:val="none"/>
        </w:rPr>
        <w:t xml:space="preserve">. </w:t>
      </w:r>
    </w:p>
    <w:p w14:paraId="31F957F3" w14:textId="77777777" w:rsidR="00267E43" w:rsidRPr="00267E43" w:rsidRDefault="00267E43" w:rsidP="00267E43">
      <w:pPr>
        <w:widowControl w:val="0"/>
        <w:spacing w:before="60" w:after="60" w:line="240" w:lineRule="auto"/>
        <w:ind w:firstLine="720"/>
        <w:jc w:val="right"/>
        <w:rPr>
          <w:rFonts w:eastAsia="Times New Roman" w:cs="Times New Roman"/>
          <w:b/>
          <w:kern w:val="0"/>
          <w:sz w:val="20"/>
          <w:szCs w:val="20"/>
          <w:lang w:val="vi-VN"/>
          <w14:ligatures w14:val="none"/>
        </w:rPr>
      </w:pPr>
      <w:r w:rsidRPr="00267E43">
        <w:rPr>
          <w:rFonts w:eastAsia="Times New Roman" w:cs="Times New Roman"/>
          <w:b/>
          <w:kern w:val="0"/>
          <w:sz w:val="20"/>
          <w:szCs w:val="20"/>
          <w:lang w:val="vi-VN"/>
          <w14:ligatures w14:val="none"/>
        </w:rPr>
        <w:t>NGUYỄN PHI TOÀN</w:t>
      </w:r>
    </w:p>
    <w:p w14:paraId="45AFE5DC" w14:textId="77777777" w:rsidR="00267E43" w:rsidRPr="00267E43" w:rsidRDefault="00267E43" w:rsidP="00267E43">
      <w:pPr>
        <w:spacing w:before="60" w:after="60" w:line="240" w:lineRule="auto"/>
        <w:jc w:val="both"/>
        <w:rPr>
          <w:rFonts w:eastAsia="Calibri" w:cs="Times New Roman"/>
          <w:b/>
          <w:kern w:val="0"/>
          <w:sz w:val="20"/>
          <w:szCs w:val="20"/>
          <w:lang w:val="vi-VN"/>
          <w14:ligatures w14:val="none"/>
        </w:rPr>
      </w:pPr>
    </w:p>
    <w:p w14:paraId="081207EF" w14:textId="77777777" w:rsidR="00267E43" w:rsidRPr="00267E43" w:rsidRDefault="00267E43" w:rsidP="00267E43">
      <w:pPr>
        <w:spacing w:before="60" w:after="60" w:line="240" w:lineRule="auto"/>
        <w:jc w:val="both"/>
        <w:rPr>
          <w:rFonts w:eastAsia="Calibri" w:cs="Times New Roman"/>
          <w:b/>
          <w:kern w:val="0"/>
          <w:sz w:val="20"/>
          <w:szCs w:val="20"/>
          <w:lang w:val="vi-VN"/>
          <w14:ligatures w14:val="none"/>
        </w:rPr>
      </w:pPr>
      <w:r w:rsidRPr="00267E43">
        <w:rPr>
          <w:rFonts w:eastAsia="Calibri" w:cs="Times New Roman"/>
          <w:b/>
          <w:kern w:val="0"/>
          <w:sz w:val="20"/>
          <w:szCs w:val="20"/>
          <w:lang w:val="vi-VN"/>
          <w14:ligatures w14:val="none"/>
        </w:rPr>
        <w:t xml:space="preserve">Tài liệu tham khảo: </w:t>
      </w:r>
    </w:p>
    <w:p w14:paraId="36C71B97" w14:textId="77777777" w:rsidR="00267E43" w:rsidRPr="00267E43" w:rsidRDefault="00267E43" w:rsidP="00267E43">
      <w:pPr>
        <w:widowControl w:val="0"/>
        <w:spacing w:before="60" w:after="60" w:line="240" w:lineRule="auto"/>
        <w:jc w:val="both"/>
        <w:rPr>
          <w:rFonts w:eastAsia="Calibri" w:cs="Times New Roman"/>
          <w:kern w:val="0"/>
          <w:sz w:val="20"/>
          <w:szCs w:val="20"/>
          <w:lang w:val="vi-VN"/>
          <w14:ligatures w14:val="none"/>
        </w:rPr>
      </w:pPr>
      <w:r w:rsidRPr="00267E43">
        <w:rPr>
          <w:rFonts w:eastAsia="Times New Roman" w:cs="Times New Roman"/>
          <w:kern w:val="0"/>
          <w:sz w:val="20"/>
          <w:szCs w:val="20"/>
          <w:lang w:val="vi-VN"/>
          <w14:ligatures w14:val="none"/>
        </w:rPr>
        <w:t xml:space="preserve">1. Luật </w:t>
      </w:r>
      <w:r w:rsidRPr="00267E43">
        <w:rPr>
          <w:rFonts w:eastAsia="Calibri" w:cs="Times New Roman"/>
          <w:kern w:val="0"/>
          <w:sz w:val="20"/>
          <w:szCs w:val="20"/>
          <w:lang w:val="vi-VN"/>
          <w14:ligatures w14:val="none"/>
        </w:rPr>
        <w:t>thủy sản, Luật số: 18/2017/QH14, ngày 21 tháng 11 năm 2017.</w:t>
      </w:r>
    </w:p>
    <w:p w14:paraId="0F7A3970" w14:textId="77777777" w:rsidR="00267E43" w:rsidRPr="00267E43" w:rsidRDefault="00267E43" w:rsidP="00267E43">
      <w:pPr>
        <w:widowControl w:val="0"/>
        <w:spacing w:before="60" w:after="60" w:line="240" w:lineRule="auto"/>
        <w:jc w:val="both"/>
        <w:rPr>
          <w:rFonts w:eastAsia="Calibri" w:cs="Times New Roman"/>
          <w:kern w:val="0"/>
          <w:sz w:val="20"/>
          <w:szCs w:val="20"/>
          <w:lang w:val="vi-VN"/>
          <w14:ligatures w14:val="none"/>
        </w:rPr>
      </w:pPr>
      <w:r w:rsidRPr="00267E43">
        <w:rPr>
          <w:rFonts w:eastAsia="Calibri" w:cs="Times New Roman"/>
          <w:kern w:val="0"/>
          <w:sz w:val="20"/>
          <w:szCs w:val="20"/>
          <w:lang w:val="vi-VN"/>
          <w14:ligatures w14:val="none"/>
        </w:rPr>
        <w:t>2. Quyết định số 742/QĐ-TTg ngày  26 tháng  5 năm 2010 của Thủ tướng Chính phủ  Về việc phê duyệt Quy hoạch hệ thống khu bảo tồn biển Việt Nam đến năm 2020.</w:t>
      </w:r>
    </w:p>
    <w:p w14:paraId="5EFA3F66" w14:textId="77777777" w:rsidR="00267E43" w:rsidRPr="00267E43" w:rsidRDefault="00267E43" w:rsidP="00267E43">
      <w:pPr>
        <w:widowControl w:val="0"/>
        <w:spacing w:before="60" w:after="60" w:line="240" w:lineRule="auto"/>
        <w:jc w:val="both"/>
        <w:rPr>
          <w:rFonts w:eastAsia="Calibri" w:cs="Times New Roman"/>
          <w:kern w:val="0"/>
          <w:sz w:val="20"/>
          <w:szCs w:val="20"/>
          <w:lang w:val="vi-VN"/>
          <w14:ligatures w14:val="none"/>
        </w:rPr>
      </w:pPr>
      <w:r w:rsidRPr="00267E43">
        <w:rPr>
          <w:rFonts w:eastAsia="Calibri" w:cs="Times New Roman"/>
          <w:kern w:val="0"/>
          <w:sz w:val="20"/>
          <w:szCs w:val="20"/>
          <w:lang w:val="vi-VN"/>
          <w14:ligatures w14:val="none"/>
        </w:rPr>
        <w:t>3. Thông tư số 19/2018/TT-BNN&amp;PTNN ngày 15 tháng 11 năm 2018 của Bộ Nông nghiệp và Phát triển Nông thôn Hướng dẫn về bảo vệ và phát triển nguồn lợi thủy sản.</w:t>
      </w:r>
    </w:p>
    <w:p w14:paraId="415F115C" w14:textId="77777777" w:rsidR="00267E43" w:rsidRPr="00267E43" w:rsidRDefault="00267E43" w:rsidP="00267E43">
      <w:pPr>
        <w:widowControl w:val="0"/>
        <w:spacing w:before="60" w:after="60" w:line="240" w:lineRule="auto"/>
        <w:jc w:val="both"/>
        <w:rPr>
          <w:rFonts w:eastAsia="Calibri" w:cs="Times New Roman"/>
          <w:kern w:val="0"/>
          <w:sz w:val="20"/>
          <w:szCs w:val="20"/>
          <w14:ligatures w14:val="none"/>
        </w:rPr>
      </w:pPr>
      <w:r w:rsidRPr="00267E43">
        <w:rPr>
          <w:rFonts w:eastAsia="Calibri" w:cs="Times New Roman"/>
          <w:kern w:val="0"/>
          <w:sz w:val="20"/>
          <w:szCs w:val="20"/>
          <w:lang w:val="vi-VN"/>
          <w14:ligatures w14:val="none"/>
        </w:rPr>
        <w:t>4. Thông tư số 01/2022/TT-BNN&amp;PTNN ngày 18 tháng 01 năm 2022 của Bộ Nông nghiệp và Phát triển Nông thôn về Sửa đổi, bổ sung một số Thông tư trong lĩnh vực thủy sản.</w:t>
      </w:r>
    </w:p>
    <w:p w14:paraId="20E486D3" w14:textId="77777777" w:rsidR="002B1871" w:rsidRDefault="002B1871"/>
    <w:sectPr w:rsidR="002B1871" w:rsidSect="00267E43">
      <w:footerReference w:type="default" r:id="rId5"/>
      <w:footerReference w:type="first" r:id="rId6"/>
      <w:pgSz w:w="11907" w:h="16840" w:code="9"/>
      <w:pgMar w:top="1134" w:right="851" w:bottom="1134" w:left="1418" w:header="561" w:footer="561" w:gutter="0"/>
      <w:pgNumType w:start="29"/>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381837"/>
      <w:docPartObj>
        <w:docPartGallery w:val="Page Numbers (Bottom of Page)"/>
        <w:docPartUnique/>
      </w:docPartObj>
    </w:sdtPr>
    <w:sdtEndPr>
      <w:rPr>
        <w:noProof/>
      </w:rPr>
    </w:sdtEndPr>
    <w:sdtContent>
      <w:p w14:paraId="7729C013" w14:textId="77777777" w:rsidR="00267E43" w:rsidRDefault="00267E43">
        <w:pPr>
          <w:pStyle w:val="Footer1"/>
          <w:jc w:val="center"/>
        </w:pPr>
        <w:r>
          <w:fldChar w:fldCharType="begin"/>
        </w:r>
        <w:r>
          <w:instrText xml:space="preserve"> PAGE   \* MERGEFORMAT </w:instrText>
        </w:r>
        <w:r>
          <w:fldChar w:fldCharType="separate"/>
        </w:r>
        <w:r>
          <w:rPr>
            <w:noProof/>
          </w:rPr>
          <w:t>32</w:t>
        </w:r>
        <w:r>
          <w:rPr>
            <w:noProof/>
          </w:rPr>
          <w:fldChar w:fldCharType="end"/>
        </w:r>
      </w:p>
    </w:sdtContent>
  </w:sdt>
  <w:p w14:paraId="17BA87F3" w14:textId="77777777" w:rsidR="00267E43" w:rsidRDefault="00267E43">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018528"/>
      <w:docPartObj>
        <w:docPartGallery w:val="Page Numbers (Bottom of Page)"/>
        <w:docPartUnique/>
      </w:docPartObj>
    </w:sdtPr>
    <w:sdtEndPr>
      <w:rPr>
        <w:noProof/>
      </w:rPr>
    </w:sdtEndPr>
    <w:sdtContent>
      <w:p w14:paraId="578DB8DA" w14:textId="77777777" w:rsidR="00267E43" w:rsidRDefault="00267E43">
        <w:pPr>
          <w:pStyle w:val="Footer1"/>
          <w:jc w:val="center"/>
        </w:pPr>
        <w:r>
          <w:fldChar w:fldCharType="begin"/>
        </w:r>
        <w:r>
          <w:instrText xml:space="preserve"> PAGE   \* MERGEFORMAT </w:instrText>
        </w:r>
        <w:r>
          <w:fldChar w:fldCharType="separate"/>
        </w:r>
        <w:r>
          <w:rPr>
            <w:noProof/>
          </w:rPr>
          <w:t>29</w:t>
        </w:r>
        <w:r>
          <w:rPr>
            <w:noProof/>
          </w:rPr>
          <w:fldChar w:fldCharType="end"/>
        </w:r>
      </w:p>
    </w:sdtContent>
  </w:sdt>
  <w:p w14:paraId="72F96679" w14:textId="77777777" w:rsidR="00267E43" w:rsidRDefault="00267E43">
    <w:pPr>
      <w:pStyle w:val="Footer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4348"/>
    <w:multiLevelType w:val="hybridMultilevel"/>
    <w:tmpl w:val="ECECA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3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43"/>
    <w:rsid w:val="00060052"/>
    <w:rsid w:val="0014220F"/>
    <w:rsid w:val="00267E43"/>
    <w:rsid w:val="002B1871"/>
    <w:rsid w:val="002F0A7D"/>
    <w:rsid w:val="00587EC0"/>
    <w:rsid w:val="0070421C"/>
    <w:rsid w:val="0082578F"/>
    <w:rsid w:val="0098269E"/>
    <w:rsid w:val="00B264F8"/>
    <w:rsid w:val="00BF05C2"/>
    <w:rsid w:val="00EF5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C74F"/>
  <w15:chartTrackingRefBased/>
  <w15:docId w15:val="{FAD98F33-587A-4716-8934-43A7DA72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267E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67E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67E4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67E4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67E4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67E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7E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7E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7E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67E4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67E4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67E4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67E4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67E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7E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7E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7E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7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7E43"/>
    <w:pPr>
      <w:spacing w:before="160"/>
      <w:jc w:val="center"/>
    </w:pPr>
    <w:rPr>
      <w:i/>
      <w:iCs/>
      <w:color w:val="404040" w:themeColor="text1" w:themeTint="BF"/>
    </w:rPr>
  </w:style>
  <w:style w:type="character" w:customStyle="1" w:styleId="QuoteChar">
    <w:name w:val="Quote Char"/>
    <w:basedOn w:val="DefaultParagraphFont"/>
    <w:link w:val="Quote"/>
    <w:uiPriority w:val="29"/>
    <w:rsid w:val="00267E43"/>
    <w:rPr>
      <w:i/>
      <w:iCs/>
      <w:color w:val="404040" w:themeColor="text1" w:themeTint="BF"/>
    </w:rPr>
  </w:style>
  <w:style w:type="paragraph" w:styleId="ListParagraph">
    <w:name w:val="List Paragraph"/>
    <w:basedOn w:val="Normal"/>
    <w:uiPriority w:val="34"/>
    <w:qFormat/>
    <w:rsid w:val="00267E43"/>
    <w:pPr>
      <w:ind w:left="720"/>
      <w:contextualSpacing/>
    </w:pPr>
  </w:style>
  <w:style w:type="character" w:styleId="IntenseEmphasis">
    <w:name w:val="Intense Emphasis"/>
    <w:basedOn w:val="DefaultParagraphFont"/>
    <w:uiPriority w:val="21"/>
    <w:qFormat/>
    <w:rsid w:val="00267E43"/>
    <w:rPr>
      <w:i/>
      <w:iCs/>
      <w:color w:val="2E74B5" w:themeColor="accent1" w:themeShade="BF"/>
    </w:rPr>
  </w:style>
  <w:style w:type="paragraph" w:styleId="IntenseQuote">
    <w:name w:val="Intense Quote"/>
    <w:basedOn w:val="Normal"/>
    <w:next w:val="Normal"/>
    <w:link w:val="IntenseQuoteChar"/>
    <w:uiPriority w:val="30"/>
    <w:qFormat/>
    <w:rsid w:val="00267E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67E43"/>
    <w:rPr>
      <w:i/>
      <w:iCs/>
      <w:color w:val="2E74B5" w:themeColor="accent1" w:themeShade="BF"/>
    </w:rPr>
  </w:style>
  <w:style w:type="character" w:styleId="IntenseReference">
    <w:name w:val="Intense Reference"/>
    <w:basedOn w:val="DefaultParagraphFont"/>
    <w:uiPriority w:val="32"/>
    <w:qFormat/>
    <w:rsid w:val="00267E43"/>
    <w:rPr>
      <w:b/>
      <w:bCs/>
      <w:smallCaps/>
      <w:color w:val="2E74B5" w:themeColor="accent1" w:themeShade="BF"/>
      <w:spacing w:val="5"/>
    </w:rPr>
  </w:style>
  <w:style w:type="paragraph" w:customStyle="1" w:styleId="Footer1">
    <w:name w:val="Footer1"/>
    <w:basedOn w:val="Normal"/>
    <w:next w:val="Footer"/>
    <w:link w:val="FooterChar"/>
    <w:uiPriority w:val="99"/>
    <w:unhideWhenUsed/>
    <w:rsid w:val="00267E43"/>
    <w:pPr>
      <w:tabs>
        <w:tab w:val="center" w:pos="4680"/>
        <w:tab w:val="right" w:pos="9360"/>
      </w:tabs>
      <w:spacing w:after="0" w:line="240" w:lineRule="auto"/>
      <w:jc w:val="both"/>
    </w:pPr>
  </w:style>
  <w:style w:type="character" w:customStyle="1" w:styleId="FooterChar">
    <w:name w:val="Footer Char"/>
    <w:basedOn w:val="DefaultParagraphFont"/>
    <w:link w:val="Footer1"/>
    <w:uiPriority w:val="99"/>
    <w:rsid w:val="00267E43"/>
  </w:style>
  <w:style w:type="paragraph" w:styleId="Footer">
    <w:name w:val="footer"/>
    <w:basedOn w:val="Normal"/>
    <w:link w:val="FooterChar1"/>
    <w:uiPriority w:val="99"/>
    <w:semiHidden/>
    <w:unhideWhenUsed/>
    <w:rsid w:val="00267E43"/>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26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2025-12-05T03:44:00Z</dcterms:created>
  <dcterms:modified xsi:type="dcterms:W3CDTF">2025-12-05T03:44:00Z</dcterms:modified>
</cp:coreProperties>
</file>